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hint="eastAsia" w:ascii="宋体" w:eastAsiaTheme="minorEastAsia"/>
          <w:b/>
          <w:sz w:val="32"/>
          <w:szCs w:val="32"/>
          <w:lang w:eastAsia="zh-CN"/>
        </w:rPr>
      </w:pPr>
      <w:r>
        <w:rPr>
          <w:rFonts w:hint="eastAsia" w:asciiTheme="minorEastAsia" w:hAnsiTheme="minorEastAsia"/>
          <w:b/>
          <w:sz w:val="32"/>
          <w:szCs w:val="32"/>
        </w:rPr>
        <w:t>河北水利电力学院</w:t>
      </w: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p>
    <w:p>
      <w:pPr>
        <w:pStyle w:val="11"/>
        <w:numPr>
          <w:ilvl w:val="0"/>
          <w:numId w:val="1"/>
        </w:numPr>
        <w:spacing w:line="480" w:lineRule="auto"/>
        <w:ind w:left="720" w:leftChars="0" w:hanging="720" w:firstLineChars="0"/>
        <w:jc w:val="left"/>
        <w:rPr>
          <w:rFonts w:hint="eastAsia" w:asciiTheme="minorEastAsia" w:hAnsiTheme="minorEastAsia"/>
          <w:b/>
          <w:sz w:val="24"/>
          <w:szCs w:val="24"/>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pPr w:leftFromText="180" w:rightFromText="180" w:vertAnchor="text" w:horzAnchor="page" w:tblpX="190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7"/>
        <w:gridCol w:w="1183"/>
        <w:gridCol w:w="273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148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额温枪</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400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迈克凯尔DT-8806D智能温度报警快速测温语音播报</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水银温度计</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1000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东岳牌老式水银体温计</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防护服</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450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世华医疗医用全身连脚符合国家标准</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303" w:type="dxa"/>
            <w:gridSpan w:val="5"/>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总计：98750元(玖万捌仟柒佰伍拾元)</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（4）具备相应的</w:t>
      </w:r>
      <w:r>
        <w:rPr>
          <w:rFonts w:ascii="宋体" w:hAnsi="宋体" w:eastAsia="宋体" w:cs="宋体"/>
          <w:kern w:val="0"/>
          <w:sz w:val="24"/>
          <w:szCs w:val="24"/>
        </w:rPr>
        <w:t>经营范围</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（5）所供货物必须达到国家相应质量标准</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bookmarkStart w:id="0" w:name="_GoBack"/>
      <w:bookmarkEnd w:id="0"/>
      <w:r>
        <w:rPr>
          <w:rFonts w:hint="eastAsia" w:asciiTheme="minorEastAsia" w:hAnsiTheme="minorEastAsia"/>
          <w:sz w:val="24"/>
          <w:szCs w:val="24"/>
        </w:rPr>
        <w:t>，</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15ED5DD4"/>
    <w:rsid w:val="26B13202"/>
    <w:rsid w:val="508C5576"/>
    <w:rsid w:val="68CE18A4"/>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2</Pages>
  <Words>553</Words>
  <Characters>561</Characters>
  <Lines>5</Lines>
  <Paragraphs>1</Paragraphs>
  <TotalTime>4</TotalTime>
  <ScaleCrop>false</ScaleCrop>
  <LinksUpToDate>false</LinksUpToDate>
  <CharactersWithSpaces>771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2021-11-17T01:19:00Z</cp:lastPrinted>
  <dcterms:modified xsi:type="dcterms:W3CDTF">2022-04-02T02:43:15Z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C88939BED4B148AAA5EF8C85A8BAA1E0</vt:lpwstr>
  </property>
</Properties>
</file>