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EE4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9A1DC8" w:rsidRPr="009A1DC8">
        <w:rPr>
          <w:rFonts w:asciiTheme="minorEastAsia" w:hAnsiTheme="minorEastAsia" w:hint="eastAsia"/>
          <w:sz w:val="28"/>
          <w:szCs w:val="28"/>
          <w:u w:val="single"/>
        </w:rPr>
        <w:t>修缮服务中心更换公寓和大学生活动中心纱窗</w:t>
      </w:r>
      <w:r w:rsidR="00EE4609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  <w:bookmarkStart w:id="0" w:name="_GoBack"/>
      <w:bookmarkEnd w:id="0"/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04" w:rsidRDefault="009A4604" w:rsidP="000E7B66">
      <w:r>
        <w:separator/>
      </w:r>
    </w:p>
  </w:endnote>
  <w:endnote w:type="continuationSeparator" w:id="0">
    <w:p w:rsidR="009A4604" w:rsidRDefault="009A4604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04" w:rsidRDefault="009A4604" w:rsidP="000E7B66">
      <w:r>
        <w:separator/>
      </w:r>
    </w:p>
  </w:footnote>
  <w:footnote w:type="continuationSeparator" w:id="0">
    <w:p w:rsidR="009A4604" w:rsidRDefault="009A4604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8680B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china</cp:lastModifiedBy>
  <cp:revision>36</cp:revision>
  <cp:lastPrinted>2018-06-01T01:55:00Z</cp:lastPrinted>
  <dcterms:created xsi:type="dcterms:W3CDTF">2016-04-08T01:40:00Z</dcterms:created>
  <dcterms:modified xsi:type="dcterms:W3CDTF">2019-05-20T07:48:00Z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